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2410"/>
        </w:tabs>
        <w:kinsoku/>
        <w:wordWrap/>
        <w:overflowPunct/>
        <w:topLinePunct w:val="0"/>
        <w:autoSpaceDE/>
        <w:autoSpaceDN/>
        <w:bidi w:val="0"/>
        <w:adjustRightInd/>
        <w:snapToGrid/>
        <w:jc w:val="center"/>
        <w:textAlignment w:val="auto"/>
        <w:rPr>
          <w:rFonts w:hint="eastAsia" w:ascii="仿宋" w:hAnsi="仿宋" w:eastAsia="仿宋"/>
          <w:b w:val="0"/>
          <w:bCs/>
          <w:sz w:val="36"/>
          <w:szCs w:val="36"/>
        </w:rPr>
      </w:pPr>
      <w:bookmarkStart w:id="0" w:name="_GoBack"/>
      <w:r>
        <w:rPr>
          <w:rFonts w:hint="eastAsia" w:asciiTheme="majorEastAsia" w:hAnsiTheme="majorEastAsia" w:eastAsiaTheme="majorEastAsia" w:cstheme="majorEastAsia"/>
          <w:b/>
          <w:bCs w:val="0"/>
          <w:sz w:val="36"/>
          <w:szCs w:val="36"/>
          <w:lang w:eastAsia="zh-CN"/>
        </w:rPr>
        <w:t>全民</w:t>
      </w:r>
      <w:r>
        <w:rPr>
          <w:rFonts w:hint="eastAsia" w:asciiTheme="majorEastAsia" w:hAnsiTheme="majorEastAsia" w:eastAsiaTheme="majorEastAsia" w:cstheme="majorEastAsia"/>
          <w:b/>
          <w:bCs w:val="0"/>
          <w:sz w:val="36"/>
          <w:szCs w:val="36"/>
        </w:rPr>
        <w:t>健身</w:t>
      </w:r>
      <w:r>
        <w:rPr>
          <w:rFonts w:hint="eastAsia" w:asciiTheme="majorEastAsia" w:hAnsiTheme="majorEastAsia" w:eastAsiaTheme="majorEastAsia" w:cstheme="majorEastAsia"/>
          <w:b/>
          <w:bCs w:val="0"/>
          <w:sz w:val="36"/>
          <w:szCs w:val="36"/>
          <w:lang w:eastAsia="zh-CN"/>
        </w:rPr>
        <w:t>基本</w:t>
      </w:r>
      <w:r>
        <w:rPr>
          <w:rFonts w:hint="eastAsia" w:asciiTheme="majorEastAsia" w:hAnsiTheme="majorEastAsia" w:eastAsiaTheme="majorEastAsia" w:cstheme="majorEastAsia"/>
          <w:b/>
          <w:bCs w:val="0"/>
          <w:sz w:val="36"/>
          <w:szCs w:val="36"/>
        </w:rPr>
        <w:t>公共服务标准（2021年版）</w:t>
      </w:r>
    </w:p>
    <w:bookmarkEnd w:id="0"/>
    <w:tbl>
      <w:tblPr>
        <w:tblStyle w:val="3"/>
        <w:tblpPr w:leftFromText="180" w:rightFromText="180" w:vertAnchor="text" w:horzAnchor="page" w:tblpX="1402" w:tblpY="408"/>
        <w:tblOverlap w:val="never"/>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7"/>
        <w:gridCol w:w="1418"/>
        <w:gridCol w:w="5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18" w:type="dxa"/>
            <w:vAlign w:val="center"/>
          </w:tcPr>
          <w:p>
            <w:pPr>
              <w:autoSpaceDE w:val="0"/>
              <w:autoSpaceDN w:val="0"/>
              <w:adjustRightInd w:val="0"/>
              <w:ind w:left="-60"/>
              <w:jc w:val="center"/>
              <w:rPr>
                <w:rFonts w:ascii="宋体" w:hAnsi="宋体"/>
                <w:b/>
                <w:bCs/>
                <w:kern w:val="0"/>
                <w:sz w:val="24"/>
              </w:rPr>
            </w:pPr>
            <w:r>
              <w:rPr>
                <w:rFonts w:hint="eastAsia" w:ascii="宋体" w:hAnsi="宋体"/>
                <w:b/>
                <w:bCs/>
                <w:kern w:val="0"/>
                <w:sz w:val="24"/>
              </w:rPr>
              <w:t>项目名称</w:t>
            </w:r>
          </w:p>
        </w:tc>
        <w:tc>
          <w:tcPr>
            <w:tcW w:w="1417" w:type="dxa"/>
            <w:vAlign w:val="center"/>
          </w:tcPr>
          <w:p>
            <w:pPr>
              <w:autoSpaceDE w:val="0"/>
              <w:autoSpaceDN w:val="0"/>
              <w:adjustRightInd w:val="0"/>
              <w:ind w:left="-60"/>
              <w:jc w:val="center"/>
              <w:rPr>
                <w:rFonts w:ascii="宋体" w:hAnsi="宋体"/>
                <w:b/>
                <w:bCs/>
                <w:kern w:val="0"/>
                <w:sz w:val="24"/>
              </w:rPr>
            </w:pPr>
            <w:r>
              <w:rPr>
                <w:rFonts w:hint="eastAsia" w:ascii="宋体" w:hAnsi="宋体"/>
                <w:b/>
                <w:bCs/>
                <w:kern w:val="0"/>
                <w:sz w:val="24"/>
              </w:rPr>
              <w:t>服务对象</w:t>
            </w:r>
          </w:p>
        </w:tc>
        <w:tc>
          <w:tcPr>
            <w:tcW w:w="1418" w:type="dxa"/>
            <w:vAlign w:val="center"/>
          </w:tcPr>
          <w:p>
            <w:pPr>
              <w:autoSpaceDE w:val="0"/>
              <w:autoSpaceDN w:val="0"/>
              <w:adjustRightInd w:val="0"/>
              <w:ind w:left="-60"/>
              <w:jc w:val="center"/>
              <w:rPr>
                <w:rFonts w:ascii="宋体" w:hAnsi="宋体"/>
                <w:b/>
                <w:bCs/>
                <w:kern w:val="0"/>
                <w:sz w:val="24"/>
              </w:rPr>
            </w:pPr>
            <w:r>
              <w:rPr>
                <w:rFonts w:hint="eastAsia" w:ascii="宋体" w:hAnsi="宋体"/>
                <w:b/>
                <w:bCs/>
                <w:kern w:val="0"/>
                <w:sz w:val="24"/>
              </w:rPr>
              <w:t>服务内容</w:t>
            </w:r>
          </w:p>
        </w:tc>
        <w:tc>
          <w:tcPr>
            <w:tcW w:w="5595" w:type="dxa"/>
            <w:vAlign w:val="center"/>
          </w:tcPr>
          <w:p>
            <w:pPr>
              <w:autoSpaceDE w:val="0"/>
              <w:autoSpaceDN w:val="0"/>
              <w:adjustRightInd w:val="0"/>
              <w:ind w:left="-60"/>
              <w:jc w:val="center"/>
              <w:rPr>
                <w:rFonts w:ascii="宋体" w:hAnsi="宋体"/>
                <w:b/>
                <w:bCs/>
                <w:kern w:val="0"/>
                <w:sz w:val="24"/>
              </w:rPr>
            </w:pPr>
            <w:r>
              <w:rPr>
                <w:rFonts w:hint="eastAsia" w:ascii="宋体" w:hAnsi="宋体"/>
                <w:b/>
                <w:bCs/>
                <w:kern w:val="0"/>
                <w:sz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418" w:type="dxa"/>
            <w:vAlign w:val="center"/>
          </w:tcPr>
          <w:p>
            <w:pPr>
              <w:autoSpaceDE w:val="0"/>
              <w:autoSpaceDN w:val="0"/>
              <w:adjustRightInd w:val="0"/>
              <w:jc w:val="center"/>
              <w:rPr>
                <w:rFonts w:ascii="仿宋" w:hAnsi="仿宋" w:eastAsia="仿宋"/>
                <w:b w:val="0"/>
                <w:bCs w:val="0"/>
                <w:kern w:val="0"/>
                <w:sz w:val="24"/>
              </w:rPr>
            </w:pPr>
            <w:r>
              <w:rPr>
                <w:rFonts w:hint="eastAsia" w:ascii="仿宋" w:hAnsi="仿宋" w:eastAsia="仿宋"/>
                <w:b w:val="0"/>
                <w:bCs w:val="0"/>
                <w:kern w:val="0"/>
                <w:sz w:val="24"/>
              </w:rPr>
              <w:t>公共体育</w:t>
            </w:r>
          </w:p>
          <w:p>
            <w:pPr>
              <w:autoSpaceDE w:val="0"/>
              <w:autoSpaceDN w:val="0"/>
              <w:adjustRightInd w:val="0"/>
              <w:jc w:val="center"/>
              <w:rPr>
                <w:rFonts w:ascii="仿宋" w:hAnsi="仿宋" w:eastAsia="仿宋"/>
                <w:b w:val="0"/>
                <w:bCs w:val="0"/>
                <w:kern w:val="0"/>
                <w:sz w:val="24"/>
              </w:rPr>
            </w:pPr>
            <w:r>
              <w:rPr>
                <w:rFonts w:hint="eastAsia" w:ascii="仿宋" w:hAnsi="仿宋" w:eastAsia="仿宋"/>
                <w:b w:val="0"/>
                <w:bCs w:val="0"/>
                <w:kern w:val="0"/>
                <w:sz w:val="24"/>
              </w:rPr>
              <w:t>设施开放</w:t>
            </w:r>
          </w:p>
        </w:tc>
        <w:tc>
          <w:tcPr>
            <w:tcW w:w="1417" w:type="dxa"/>
            <w:vAlign w:val="center"/>
          </w:tcPr>
          <w:p>
            <w:pPr>
              <w:autoSpaceDE w:val="0"/>
              <w:autoSpaceDN w:val="0"/>
              <w:adjustRightInd w:val="0"/>
              <w:jc w:val="center"/>
              <w:rPr>
                <w:rFonts w:ascii="仿宋" w:hAnsi="仿宋" w:eastAsia="仿宋"/>
                <w:b w:val="0"/>
                <w:bCs w:val="0"/>
                <w:kern w:val="0"/>
                <w:sz w:val="24"/>
              </w:rPr>
            </w:pPr>
            <w:r>
              <w:rPr>
                <w:rFonts w:hint="eastAsia" w:ascii="仿宋" w:hAnsi="仿宋" w:eastAsia="仿宋"/>
                <w:b w:val="0"/>
                <w:bCs w:val="0"/>
                <w:kern w:val="0"/>
                <w:sz w:val="24"/>
              </w:rPr>
              <w:t>城乡居民</w:t>
            </w:r>
          </w:p>
        </w:tc>
        <w:tc>
          <w:tcPr>
            <w:tcW w:w="1418" w:type="dxa"/>
            <w:vAlign w:val="center"/>
          </w:tcPr>
          <w:p>
            <w:pPr>
              <w:autoSpaceDE w:val="0"/>
              <w:autoSpaceDN w:val="0"/>
              <w:adjustRightInd w:val="0"/>
              <w:jc w:val="center"/>
              <w:rPr>
                <w:rFonts w:ascii="仿宋" w:hAnsi="仿宋" w:eastAsia="仿宋" w:cs="FZSSK--GBK1-0"/>
                <w:b w:val="0"/>
                <w:bCs w:val="0"/>
                <w:kern w:val="0"/>
                <w:sz w:val="24"/>
              </w:rPr>
            </w:pPr>
            <w:r>
              <w:rPr>
                <w:rFonts w:hint="eastAsia" w:ascii="仿宋" w:hAnsi="仿宋" w:eastAsia="仿宋" w:cs="FZSSK--GBK1-0"/>
                <w:b w:val="0"/>
                <w:bCs w:val="0"/>
                <w:kern w:val="0"/>
                <w:sz w:val="24"/>
              </w:rPr>
              <w:t>有条件的公共体育设施免费或低收费开放</w:t>
            </w:r>
          </w:p>
        </w:tc>
        <w:tc>
          <w:tcPr>
            <w:tcW w:w="5595" w:type="dxa"/>
          </w:tcPr>
          <w:p>
            <w:pPr>
              <w:autoSpaceDE w:val="0"/>
              <w:autoSpaceDN w:val="0"/>
              <w:adjustRightInd w:val="0"/>
              <w:rPr>
                <w:rFonts w:ascii="仿宋" w:hAnsi="仿宋" w:eastAsia="仿宋"/>
                <w:b w:val="0"/>
                <w:bCs w:val="0"/>
                <w:sz w:val="24"/>
                <w:szCs w:val="22"/>
              </w:rPr>
            </w:pPr>
            <w:r>
              <w:rPr>
                <w:rFonts w:hint="eastAsia" w:ascii="仿宋" w:hAnsi="仿宋" w:eastAsia="仿宋" w:cs="FZSSK--GBK1-0"/>
                <w:b w:val="0"/>
                <w:bCs w:val="0"/>
                <w:kern w:val="0"/>
                <w:sz w:val="24"/>
                <w:szCs w:val="22"/>
              </w:rPr>
              <w:t>1.</w:t>
            </w:r>
            <w:r>
              <w:rPr>
                <w:rFonts w:hint="eastAsia" w:ascii="仿宋" w:hAnsi="仿宋" w:eastAsia="仿宋"/>
                <w:b w:val="0"/>
                <w:bCs w:val="0"/>
                <w:sz w:val="24"/>
                <w:szCs w:val="22"/>
              </w:rPr>
              <w:t>每周免费或低收费开放时间不少于</w:t>
            </w:r>
            <w:r>
              <w:rPr>
                <w:rFonts w:hint="eastAsia" w:ascii="仿宋" w:hAnsi="仿宋" w:eastAsia="仿宋"/>
                <w:b w:val="0"/>
                <w:bCs w:val="0"/>
                <w:sz w:val="24"/>
                <w:szCs w:val="22"/>
                <w:lang w:val="en-US" w:eastAsia="zh-CN"/>
              </w:rPr>
              <w:t>35</w:t>
            </w:r>
            <w:r>
              <w:rPr>
                <w:rFonts w:hint="eastAsia" w:ascii="仿宋" w:hAnsi="仿宋" w:eastAsia="仿宋"/>
                <w:b w:val="0"/>
                <w:bCs w:val="0"/>
                <w:sz w:val="24"/>
                <w:szCs w:val="22"/>
              </w:rPr>
              <w:t>小时，全年免费或低收费开放时间不少于330天；公休日、国家法定节假日、学校寒暑假期间，每天免费或低收费开放时间不少于</w:t>
            </w:r>
            <w:r>
              <w:rPr>
                <w:rFonts w:hint="eastAsia" w:ascii="仿宋" w:hAnsi="仿宋" w:eastAsia="仿宋"/>
                <w:b w:val="0"/>
                <w:bCs w:val="0"/>
                <w:sz w:val="24"/>
                <w:szCs w:val="22"/>
                <w:lang w:val="en-US" w:eastAsia="zh-CN"/>
              </w:rPr>
              <w:t>8</w:t>
            </w:r>
            <w:r>
              <w:rPr>
                <w:rFonts w:hint="eastAsia" w:ascii="仿宋" w:hAnsi="仿宋" w:eastAsia="仿宋"/>
                <w:b w:val="0"/>
                <w:bCs w:val="0"/>
                <w:sz w:val="24"/>
                <w:szCs w:val="22"/>
              </w:rPr>
              <w:t>小时</w:t>
            </w:r>
            <w:r>
              <w:rPr>
                <w:rFonts w:hint="eastAsia" w:ascii="仿宋" w:hAnsi="仿宋" w:eastAsia="仿宋"/>
                <w:b w:val="0"/>
                <w:bCs w:val="0"/>
                <w:sz w:val="24"/>
                <w:szCs w:val="22"/>
                <w:lang w:eastAsia="zh-CN"/>
              </w:rPr>
              <w:t>；</w:t>
            </w:r>
            <w:r>
              <w:rPr>
                <w:rFonts w:hint="eastAsia" w:ascii="仿宋" w:hAnsi="仿宋" w:eastAsia="仿宋"/>
                <w:b w:val="0"/>
                <w:bCs w:val="0"/>
                <w:sz w:val="24"/>
                <w:szCs w:val="22"/>
              </w:rPr>
              <w:t>全民健身日全面免费向社会开放</w:t>
            </w:r>
            <w:r>
              <w:rPr>
                <w:rFonts w:hint="eastAsia" w:ascii="仿宋" w:hAnsi="仿宋" w:eastAsia="仿宋"/>
                <w:b w:val="0"/>
                <w:bCs w:val="0"/>
                <w:sz w:val="24"/>
                <w:szCs w:val="22"/>
                <w:lang w:eastAsia="zh-CN"/>
              </w:rPr>
              <w:t>。</w:t>
            </w:r>
          </w:p>
          <w:p>
            <w:pPr>
              <w:autoSpaceDE w:val="0"/>
              <w:autoSpaceDN w:val="0"/>
              <w:adjustRightInd w:val="0"/>
              <w:rPr>
                <w:rFonts w:ascii="仿宋" w:hAnsi="仿宋" w:eastAsia="仿宋"/>
                <w:b w:val="0"/>
                <w:bCs w:val="0"/>
                <w:sz w:val="24"/>
                <w:szCs w:val="22"/>
              </w:rPr>
            </w:pPr>
            <w:r>
              <w:rPr>
                <w:rFonts w:ascii="仿宋" w:hAnsi="仿宋" w:eastAsia="仿宋"/>
                <w:b w:val="0"/>
                <w:bCs w:val="0"/>
                <w:sz w:val="24"/>
                <w:szCs w:val="22"/>
              </w:rPr>
              <w:t>2.</w:t>
            </w:r>
            <w:r>
              <w:rPr>
                <w:rFonts w:hint="eastAsia" w:ascii="仿宋" w:hAnsi="仿宋" w:eastAsia="仿宋"/>
                <w:b w:val="0"/>
                <w:bCs w:val="0"/>
                <w:sz w:val="24"/>
                <w:szCs w:val="22"/>
              </w:rPr>
              <w:t>体育场、体育馆、游泳馆、全民健身中心</w:t>
            </w:r>
            <w:r>
              <w:rPr>
                <w:rFonts w:hint="eastAsia" w:ascii="仿宋" w:hAnsi="仿宋" w:eastAsia="仿宋"/>
                <w:b w:val="0"/>
                <w:bCs w:val="0"/>
                <w:sz w:val="24"/>
                <w:szCs w:val="22"/>
                <w:lang w:eastAsia="zh-CN"/>
              </w:rPr>
              <w:t>、体育公园、农民体育健身工程</w:t>
            </w:r>
            <w:r>
              <w:rPr>
                <w:rFonts w:hint="eastAsia" w:ascii="仿宋" w:hAnsi="仿宋" w:eastAsia="仿宋"/>
                <w:b w:val="0"/>
                <w:bCs w:val="0"/>
                <w:sz w:val="24"/>
                <w:szCs w:val="22"/>
              </w:rPr>
              <w:t>等公共体育设施</w:t>
            </w:r>
            <w:r>
              <w:rPr>
                <w:rFonts w:ascii="仿宋" w:hAnsi="仿宋" w:eastAsia="仿宋"/>
                <w:b w:val="0"/>
                <w:bCs w:val="0"/>
                <w:sz w:val="24"/>
                <w:szCs w:val="22"/>
              </w:rPr>
              <w:t>所属户外公共区域及户外健身器材</w:t>
            </w:r>
            <w:r>
              <w:rPr>
                <w:rFonts w:hint="eastAsia" w:ascii="仿宋" w:hAnsi="仿宋" w:eastAsia="仿宋"/>
                <w:b w:val="0"/>
                <w:bCs w:val="0"/>
                <w:sz w:val="24"/>
                <w:szCs w:val="22"/>
              </w:rPr>
              <w:t>每天免费开放时间不少于12小时。</w:t>
            </w:r>
          </w:p>
          <w:p>
            <w:pPr>
              <w:autoSpaceDE w:val="0"/>
              <w:autoSpaceDN w:val="0"/>
              <w:adjustRightInd w:val="0"/>
              <w:rPr>
                <w:rFonts w:ascii="仿宋" w:hAnsi="仿宋" w:eastAsia="仿宋"/>
                <w:b w:val="0"/>
                <w:bCs w:val="0"/>
                <w:sz w:val="24"/>
                <w:szCs w:val="22"/>
              </w:rPr>
            </w:pPr>
            <w:r>
              <w:rPr>
                <w:rFonts w:hint="eastAsia" w:ascii="仿宋" w:hAnsi="仿宋" w:eastAsia="仿宋"/>
                <w:b w:val="0"/>
                <w:bCs w:val="0"/>
                <w:sz w:val="24"/>
                <w:szCs w:val="22"/>
              </w:rPr>
              <w:t>3.公共体育设施低收费价格一般不高于当地市场价格的70%。</w:t>
            </w:r>
            <w:r>
              <w:rPr>
                <w:rFonts w:hint="eastAsia" w:ascii="仿宋" w:hAnsi="仿宋" w:eastAsia="仿宋"/>
                <w:b w:val="0"/>
                <w:bCs w:val="0"/>
                <w:sz w:val="24"/>
                <w:szCs w:val="22"/>
                <w:lang w:eastAsia="zh-CN"/>
              </w:rPr>
              <w:t>低收费开放时应</w:t>
            </w:r>
            <w:r>
              <w:rPr>
                <w:rFonts w:hint="eastAsia" w:ascii="仿宋" w:hAnsi="仿宋" w:eastAsia="仿宋"/>
                <w:b w:val="0"/>
                <w:bCs w:val="0"/>
                <w:sz w:val="24"/>
                <w:szCs w:val="22"/>
              </w:rPr>
              <w:t>为老年人、残疾人、学生、军人</w:t>
            </w:r>
            <w:r>
              <w:rPr>
                <w:rFonts w:hint="eastAsia" w:ascii="仿宋" w:hAnsi="仿宋" w:eastAsia="仿宋"/>
                <w:b w:val="0"/>
                <w:bCs w:val="0"/>
                <w:sz w:val="24"/>
                <w:szCs w:val="22"/>
                <w:lang w:eastAsia="zh-CN"/>
              </w:rPr>
              <w:t>、消防救援人员和公益性群众体育赛事活动</w:t>
            </w:r>
            <w:r>
              <w:rPr>
                <w:rFonts w:hint="eastAsia" w:ascii="仿宋" w:hAnsi="仿宋" w:eastAsia="仿宋"/>
                <w:b w:val="0"/>
                <w:bCs w:val="0"/>
                <w:sz w:val="24"/>
                <w:szCs w:val="22"/>
              </w:rPr>
              <w:t>提供更优惠服务，收费标准一般不超过半价。</w:t>
            </w:r>
          </w:p>
          <w:p>
            <w:pPr>
              <w:autoSpaceDE w:val="0"/>
              <w:autoSpaceDN w:val="0"/>
              <w:adjustRightInd w:val="0"/>
              <w:rPr>
                <w:rFonts w:hint="eastAsia" w:ascii="仿宋" w:hAnsi="仿宋" w:eastAsia="仿宋"/>
                <w:b w:val="0"/>
                <w:bCs w:val="0"/>
                <w:sz w:val="24"/>
                <w:szCs w:val="22"/>
              </w:rPr>
            </w:pPr>
            <w:r>
              <w:rPr>
                <w:rFonts w:hint="eastAsia" w:ascii="仿宋" w:hAnsi="仿宋" w:eastAsia="仿宋"/>
                <w:b w:val="0"/>
                <w:bCs w:val="0"/>
                <w:sz w:val="24"/>
                <w:szCs w:val="22"/>
              </w:rPr>
              <w:t>4．免费或低收费开放应覆盖晨晚练等</w:t>
            </w:r>
            <w:r>
              <w:rPr>
                <w:rFonts w:hint="eastAsia" w:ascii="仿宋" w:hAnsi="仿宋" w:eastAsia="仿宋"/>
                <w:b w:val="0"/>
                <w:bCs w:val="0"/>
                <w:sz w:val="24"/>
                <w:szCs w:val="22"/>
                <w:lang w:eastAsia="zh-CN"/>
              </w:rPr>
              <w:t>城乡居民</w:t>
            </w:r>
            <w:r>
              <w:rPr>
                <w:rFonts w:hint="eastAsia" w:ascii="仿宋" w:hAnsi="仿宋" w:eastAsia="仿宋"/>
                <w:b w:val="0"/>
                <w:bCs w:val="0"/>
                <w:sz w:val="24"/>
                <w:szCs w:val="22"/>
              </w:rPr>
              <w:t>健身高峰时段，不得全部安排在用餐高峰等</w:t>
            </w:r>
            <w:r>
              <w:rPr>
                <w:rFonts w:hint="eastAsia" w:ascii="仿宋" w:hAnsi="仿宋" w:eastAsia="仿宋"/>
                <w:b w:val="0"/>
                <w:bCs w:val="0"/>
                <w:sz w:val="24"/>
                <w:szCs w:val="22"/>
                <w:lang w:eastAsia="zh-CN"/>
              </w:rPr>
              <w:t>城乡居民</w:t>
            </w:r>
            <w:r>
              <w:rPr>
                <w:rFonts w:hint="eastAsia" w:ascii="仿宋" w:hAnsi="仿宋" w:eastAsia="仿宋"/>
                <w:b w:val="0"/>
                <w:bCs w:val="0"/>
                <w:sz w:val="24"/>
                <w:szCs w:val="22"/>
              </w:rPr>
              <w:t>健身需求较低的时段。</w:t>
            </w:r>
          </w:p>
          <w:p>
            <w:pPr>
              <w:autoSpaceDE w:val="0"/>
              <w:autoSpaceDN w:val="0"/>
              <w:adjustRightInd w:val="0"/>
              <w:rPr>
                <w:rFonts w:ascii="仿宋" w:hAnsi="仿宋" w:eastAsia="仿宋"/>
                <w:b w:val="0"/>
                <w:bCs w:val="0"/>
                <w:kern w:val="0"/>
                <w:sz w:val="24"/>
              </w:rPr>
            </w:pPr>
            <w:r>
              <w:rPr>
                <w:rFonts w:hint="eastAsia" w:ascii="仿宋" w:hAnsi="仿宋" w:eastAsia="仿宋"/>
                <w:b w:val="0"/>
                <w:bCs w:val="0"/>
                <w:sz w:val="24"/>
                <w:szCs w:val="22"/>
              </w:rPr>
              <w:t>5．</w:t>
            </w:r>
            <w:r>
              <w:rPr>
                <w:rFonts w:hint="eastAsia" w:ascii="仿宋" w:hAnsi="仿宋" w:eastAsia="仿宋"/>
                <w:b w:val="0"/>
                <w:bCs w:val="0"/>
                <w:kern w:val="0"/>
                <w:sz w:val="24"/>
                <w:szCs w:val="22"/>
                <w:lang w:val="en-US" w:eastAsia="zh-CN"/>
              </w:rPr>
              <w:t>公共体育设施应</w:t>
            </w:r>
            <w:r>
              <w:rPr>
                <w:rFonts w:hint="default" w:ascii="仿宋" w:hAnsi="仿宋" w:eastAsia="仿宋" w:cs="仿宋"/>
                <w:b w:val="0"/>
                <w:bCs w:val="0"/>
                <w:sz w:val="24"/>
                <w:szCs w:val="24"/>
              </w:rPr>
              <w:t>符合应急、疏散</w:t>
            </w:r>
            <w:r>
              <w:rPr>
                <w:rFonts w:hint="eastAsia" w:ascii="仿宋" w:hAnsi="仿宋" w:eastAsia="仿宋" w:cs="仿宋"/>
                <w:b w:val="0"/>
                <w:bCs w:val="0"/>
                <w:sz w:val="24"/>
                <w:szCs w:val="24"/>
                <w:lang w:eastAsia="zh-CN"/>
              </w:rPr>
              <w:t>、</w:t>
            </w:r>
            <w:r>
              <w:rPr>
                <w:rFonts w:hint="default" w:ascii="仿宋" w:hAnsi="仿宋" w:eastAsia="仿宋" w:cs="仿宋"/>
                <w:b w:val="0"/>
                <w:bCs w:val="0"/>
                <w:sz w:val="24"/>
                <w:szCs w:val="24"/>
              </w:rPr>
              <w:t>消防</w:t>
            </w:r>
            <w:r>
              <w:rPr>
                <w:rFonts w:hint="eastAsia" w:ascii="仿宋" w:hAnsi="仿宋" w:eastAsia="仿宋" w:cs="仿宋"/>
                <w:b w:val="0"/>
                <w:bCs w:val="0"/>
                <w:sz w:val="24"/>
                <w:szCs w:val="24"/>
                <w:lang w:eastAsia="zh-CN"/>
              </w:rPr>
              <w:t>、</w:t>
            </w:r>
            <w:r>
              <w:rPr>
                <w:rFonts w:hint="default" w:ascii="仿宋" w:hAnsi="仿宋" w:eastAsia="仿宋" w:cs="仿宋"/>
                <w:b w:val="0"/>
                <w:bCs w:val="0"/>
                <w:sz w:val="24"/>
                <w:szCs w:val="24"/>
              </w:rPr>
              <w:t>安全</w:t>
            </w:r>
            <w:r>
              <w:rPr>
                <w:rFonts w:hint="eastAsia" w:ascii="仿宋" w:hAnsi="仿宋" w:eastAsia="仿宋" w:cs="仿宋"/>
                <w:b w:val="0"/>
                <w:bCs w:val="0"/>
                <w:sz w:val="24"/>
                <w:szCs w:val="24"/>
                <w:lang w:eastAsia="zh-CN"/>
              </w:rPr>
              <w:t>、卫生防疫等相关法律法规</w:t>
            </w:r>
            <w:r>
              <w:rPr>
                <w:rFonts w:hint="default" w:ascii="仿宋" w:hAnsi="仿宋" w:eastAsia="仿宋" w:cs="仿宋"/>
                <w:b w:val="0"/>
                <w:bCs w:val="0"/>
                <w:sz w:val="24"/>
                <w:szCs w:val="24"/>
              </w:rPr>
              <w:t>标准</w:t>
            </w:r>
            <w:r>
              <w:rPr>
                <w:rFonts w:hint="eastAsia" w:ascii="仿宋" w:hAnsi="仿宋" w:eastAsia="仿宋" w:cs="仿宋"/>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8" w:type="dxa"/>
            <w:tcBorders>
              <w:bottom w:val="single" w:color="auto" w:sz="4" w:space="0"/>
            </w:tcBorders>
            <w:vAlign w:val="center"/>
          </w:tcPr>
          <w:p>
            <w:pPr>
              <w:autoSpaceDE w:val="0"/>
              <w:autoSpaceDN w:val="0"/>
              <w:adjustRightInd w:val="0"/>
              <w:jc w:val="center"/>
              <w:rPr>
                <w:rFonts w:ascii="仿宋" w:hAnsi="仿宋" w:eastAsia="仿宋"/>
                <w:b w:val="0"/>
                <w:bCs w:val="0"/>
                <w:kern w:val="0"/>
                <w:sz w:val="24"/>
              </w:rPr>
            </w:pPr>
            <w:r>
              <w:rPr>
                <w:rFonts w:hint="eastAsia" w:ascii="仿宋" w:hAnsi="仿宋" w:eastAsia="仿宋"/>
                <w:b w:val="0"/>
                <w:bCs w:val="0"/>
                <w:kern w:val="0"/>
                <w:sz w:val="24"/>
              </w:rPr>
              <w:t>全民健身</w:t>
            </w:r>
          </w:p>
          <w:p>
            <w:pPr>
              <w:autoSpaceDE w:val="0"/>
              <w:autoSpaceDN w:val="0"/>
              <w:adjustRightInd w:val="0"/>
              <w:jc w:val="center"/>
              <w:rPr>
                <w:rFonts w:ascii="仿宋" w:hAnsi="仿宋" w:eastAsia="仿宋"/>
                <w:b w:val="0"/>
                <w:bCs w:val="0"/>
                <w:kern w:val="0"/>
                <w:sz w:val="24"/>
              </w:rPr>
            </w:pPr>
            <w:r>
              <w:rPr>
                <w:rFonts w:hint="eastAsia" w:ascii="仿宋" w:hAnsi="仿宋" w:eastAsia="仿宋"/>
                <w:b w:val="0"/>
                <w:bCs w:val="0"/>
                <w:kern w:val="0"/>
                <w:sz w:val="24"/>
              </w:rPr>
              <w:t>服务</w:t>
            </w:r>
          </w:p>
        </w:tc>
        <w:tc>
          <w:tcPr>
            <w:tcW w:w="1417" w:type="dxa"/>
            <w:tcBorders>
              <w:bottom w:val="single" w:color="auto" w:sz="4" w:space="0"/>
            </w:tcBorders>
            <w:vAlign w:val="center"/>
          </w:tcPr>
          <w:p>
            <w:pPr>
              <w:autoSpaceDE w:val="0"/>
              <w:autoSpaceDN w:val="0"/>
              <w:adjustRightInd w:val="0"/>
              <w:jc w:val="center"/>
              <w:rPr>
                <w:rFonts w:ascii="仿宋" w:hAnsi="仿宋" w:eastAsia="仿宋"/>
                <w:b w:val="0"/>
                <w:bCs w:val="0"/>
                <w:kern w:val="0"/>
                <w:sz w:val="24"/>
              </w:rPr>
            </w:pPr>
            <w:r>
              <w:rPr>
                <w:rFonts w:hint="eastAsia" w:ascii="仿宋" w:hAnsi="仿宋" w:eastAsia="仿宋"/>
                <w:b w:val="0"/>
                <w:bCs w:val="0"/>
                <w:kern w:val="0"/>
                <w:sz w:val="24"/>
              </w:rPr>
              <w:t>城乡居民</w:t>
            </w:r>
          </w:p>
        </w:tc>
        <w:tc>
          <w:tcPr>
            <w:tcW w:w="1418" w:type="dxa"/>
            <w:tcBorders>
              <w:bottom w:val="single" w:color="auto" w:sz="4" w:space="0"/>
            </w:tcBorders>
            <w:vAlign w:val="center"/>
          </w:tcPr>
          <w:p>
            <w:pPr>
              <w:autoSpaceDE w:val="0"/>
              <w:autoSpaceDN w:val="0"/>
              <w:adjustRightInd w:val="0"/>
              <w:ind w:left="-60"/>
              <w:jc w:val="center"/>
              <w:rPr>
                <w:rFonts w:ascii="仿宋" w:hAnsi="仿宋" w:eastAsia="仿宋"/>
                <w:b w:val="0"/>
                <w:bCs w:val="0"/>
                <w:sz w:val="24"/>
              </w:rPr>
            </w:pPr>
            <w:r>
              <w:rPr>
                <w:rFonts w:hint="eastAsia" w:ascii="仿宋" w:hAnsi="仿宋" w:eastAsia="仿宋"/>
                <w:b w:val="0"/>
                <w:bCs w:val="0"/>
                <w:sz w:val="24"/>
              </w:rPr>
              <w:t>提供科学健身指导、群众健身活动和比赛、科学健身知识等服务，免费提供公园、绿地等公共场所全民健身器材</w:t>
            </w:r>
          </w:p>
        </w:tc>
        <w:tc>
          <w:tcPr>
            <w:tcW w:w="5595" w:type="dxa"/>
            <w:tcBorders>
              <w:bottom w:val="single" w:color="auto" w:sz="4" w:space="0"/>
            </w:tcBorders>
          </w:tcPr>
          <w:p>
            <w:pPr>
              <w:autoSpaceDE w:val="0"/>
              <w:autoSpaceDN w:val="0"/>
              <w:adjustRightInd w:val="0"/>
              <w:ind w:left="-60"/>
              <w:jc w:val="left"/>
              <w:rPr>
                <w:rFonts w:ascii="仿宋" w:hAnsi="仿宋" w:eastAsia="仿宋"/>
                <w:b w:val="0"/>
                <w:bCs w:val="0"/>
                <w:sz w:val="24"/>
              </w:rPr>
            </w:pPr>
            <w:r>
              <w:rPr>
                <w:rFonts w:hint="eastAsia" w:ascii="仿宋" w:hAnsi="仿宋" w:eastAsia="仿宋"/>
                <w:b w:val="0"/>
                <w:bCs w:val="0"/>
                <w:sz w:val="24"/>
              </w:rPr>
              <w:t>1.每千人有</w:t>
            </w:r>
            <w:r>
              <w:rPr>
                <w:rFonts w:hint="eastAsia" w:ascii="仿宋" w:hAnsi="仿宋" w:eastAsia="仿宋"/>
                <w:b w:val="0"/>
                <w:bCs w:val="0"/>
                <w:sz w:val="24"/>
                <w:lang w:val="en-US" w:eastAsia="zh-CN"/>
              </w:rPr>
              <w:t>1.91</w:t>
            </w:r>
            <w:r>
              <w:rPr>
                <w:rFonts w:hint="eastAsia" w:ascii="仿宋" w:hAnsi="仿宋" w:eastAsia="仿宋"/>
                <w:b w:val="0"/>
                <w:bCs w:val="0"/>
                <w:sz w:val="24"/>
              </w:rPr>
              <w:t>名社会体育指导员提供服务。</w:t>
            </w:r>
          </w:p>
          <w:p>
            <w:pPr>
              <w:autoSpaceDE w:val="0"/>
              <w:autoSpaceDN w:val="0"/>
              <w:adjustRightInd w:val="0"/>
              <w:ind w:left="-60"/>
              <w:jc w:val="left"/>
              <w:rPr>
                <w:rFonts w:ascii="仿宋" w:hAnsi="仿宋" w:eastAsia="仿宋"/>
                <w:b w:val="0"/>
                <w:bCs w:val="0"/>
                <w:sz w:val="24"/>
              </w:rPr>
            </w:pPr>
            <w:r>
              <w:rPr>
                <w:rFonts w:hint="eastAsia" w:ascii="仿宋" w:hAnsi="仿宋" w:eastAsia="仿宋"/>
                <w:b w:val="0"/>
                <w:bCs w:val="0"/>
                <w:sz w:val="24"/>
              </w:rPr>
              <w:t>2.提供全民健身场地设施、群众体育赛事活动、健身组织、健身指导等信息咨询服务，群众可通过即时通讯工具、手机客户端、官方网站、电话等多种渠道获取科学健身知识、预定场馆、参加培训和赛事活动等服务。</w:t>
            </w:r>
          </w:p>
          <w:p>
            <w:pPr>
              <w:autoSpaceDE w:val="0"/>
              <w:autoSpaceDN w:val="0"/>
              <w:adjustRightInd w:val="0"/>
              <w:ind w:left="-60"/>
              <w:jc w:val="left"/>
              <w:rPr>
                <w:rFonts w:ascii="仿宋" w:hAnsi="仿宋" w:eastAsia="仿宋"/>
                <w:b w:val="0"/>
                <w:bCs w:val="0"/>
                <w:sz w:val="24"/>
              </w:rPr>
            </w:pPr>
            <w:r>
              <w:rPr>
                <w:rFonts w:hint="eastAsia" w:ascii="仿宋" w:hAnsi="仿宋" w:eastAsia="仿宋"/>
                <w:b w:val="0"/>
                <w:bCs w:val="0"/>
                <w:sz w:val="24"/>
              </w:rPr>
              <w:t>3.县（市、区）打造2种以上不同类型的符合当地实际的</w:t>
            </w:r>
            <w:r>
              <w:rPr>
                <w:rFonts w:hint="eastAsia" w:ascii="仿宋" w:hAnsi="仿宋" w:eastAsia="仿宋"/>
                <w:b w:val="0"/>
                <w:bCs w:val="0"/>
                <w:sz w:val="24"/>
                <w:lang w:eastAsia="zh-CN"/>
              </w:rPr>
              <w:t>群众健身活动或比赛</w:t>
            </w:r>
            <w:r>
              <w:rPr>
                <w:rFonts w:hint="eastAsia" w:ascii="仿宋" w:hAnsi="仿宋" w:eastAsia="仿宋"/>
                <w:b w:val="0"/>
                <w:bCs w:val="0"/>
                <w:sz w:val="24"/>
              </w:rPr>
              <w:t>，每种</w:t>
            </w:r>
            <w:r>
              <w:rPr>
                <w:rFonts w:hint="eastAsia" w:ascii="仿宋" w:hAnsi="仿宋" w:eastAsia="仿宋"/>
                <w:b w:val="0"/>
                <w:bCs w:val="0"/>
                <w:sz w:val="24"/>
                <w:lang w:eastAsia="zh-CN"/>
              </w:rPr>
              <w:t>群众健身活动或比赛</w:t>
            </w:r>
            <w:r>
              <w:rPr>
                <w:rFonts w:hint="eastAsia" w:ascii="仿宋" w:hAnsi="仿宋" w:eastAsia="仿宋"/>
                <w:b w:val="0"/>
                <w:bCs w:val="0"/>
                <w:sz w:val="24"/>
              </w:rPr>
              <w:t>每年举办1次以上；有条件的行政村每年举办1次以上</w:t>
            </w:r>
            <w:r>
              <w:rPr>
                <w:rFonts w:hint="eastAsia" w:ascii="仿宋" w:hAnsi="仿宋" w:eastAsia="仿宋"/>
                <w:b w:val="0"/>
                <w:bCs w:val="0"/>
                <w:sz w:val="24"/>
                <w:lang w:eastAsia="zh-CN"/>
              </w:rPr>
              <w:t>群众健身活动或比赛</w:t>
            </w:r>
            <w:r>
              <w:rPr>
                <w:rFonts w:hint="eastAsia" w:ascii="仿宋" w:hAnsi="仿宋" w:eastAsia="仿宋"/>
                <w:b w:val="0"/>
                <w:bCs w:val="0"/>
                <w:sz w:val="24"/>
              </w:rPr>
              <w:t>。</w:t>
            </w:r>
            <w:r>
              <w:rPr>
                <w:rFonts w:hint="eastAsia" w:ascii="仿宋" w:hAnsi="仿宋" w:eastAsia="仿宋"/>
                <w:b w:val="0"/>
                <w:bCs w:val="0"/>
                <w:sz w:val="24"/>
                <w:lang w:eastAsia="zh-CN"/>
              </w:rPr>
              <w:t>所举办的群众健身活动或比赛应严格按照相关法律法规标准制定办赛指南和参赛指引，并建立健全专项应急预案和安全保障措施。</w:t>
            </w:r>
          </w:p>
          <w:p>
            <w:pPr>
              <w:autoSpaceDE w:val="0"/>
              <w:autoSpaceDN w:val="0"/>
              <w:adjustRightInd w:val="0"/>
              <w:ind w:left="-60"/>
              <w:jc w:val="left"/>
              <w:rPr>
                <w:rFonts w:ascii="仿宋" w:hAnsi="仿宋" w:eastAsia="仿宋"/>
                <w:b w:val="0"/>
                <w:bCs w:val="0"/>
                <w:sz w:val="24"/>
              </w:rPr>
            </w:pPr>
            <w:r>
              <w:rPr>
                <w:rFonts w:hint="eastAsia" w:ascii="仿宋" w:hAnsi="仿宋" w:eastAsia="仿宋"/>
                <w:b w:val="0"/>
                <w:bCs w:val="0"/>
                <w:sz w:val="24"/>
              </w:rPr>
              <w:t>4.公园、绿地等公共场所全民健身器材全年免费供公众使用。</w:t>
            </w:r>
            <w:r>
              <w:rPr>
                <w:rFonts w:hint="eastAsia" w:ascii="仿宋" w:hAnsi="仿宋" w:eastAsia="仿宋"/>
                <w:b w:val="0"/>
                <w:bCs w:val="0"/>
                <w:sz w:val="24"/>
                <w:lang w:eastAsia="zh-CN"/>
              </w:rPr>
              <w:t>所配置的健身器材应符合国家相关标准和关于健身器材配建管理工作的规定。</w:t>
            </w:r>
          </w:p>
        </w:tc>
      </w:tr>
    </w:tbl>
    <w:p/>
    <w:sectPr>
      <w:footerReference r:id="rId3" w:type="default"/>
      <w:pgSz w:w="11906" w:h="16838"/>
      <w:pgMar w:top="2801"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modern"/>
    <w:pitch w:val="default"/>
    <w:sig w:usb0="800002BF" w:usb1="38CF7CFA" w:usb2="00000016" w:usb3="00000000" w:csb0="00040001" w:csb1="00000000"/>
  </w:font>
  <w:font w:name="FZSSK--GBK1-0">
    <w:altName w:val="仿宋"/>
    <w:panose1 w:val="00000000000000000000"/>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fldChar w:fldCharType="begin"/>
    </w:r>
    <w:r>
      <w:instrText xml:space="preserve">PAGE   \* MERGEFORMAT</w:instrText>
    </w:r>
    <w:r>
      <w:fldChar w:fldCharType="separate"/>
    </w:r>
    <w:r>
      <w:rPr>
        <w:lang w:val="zh-CN"/>
      </w:rPr>
      <w:t>5</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0B116E"/>
    <w:rsid w:val="AF0B1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2022-01-04T09:20:00Z</dcterms:created>
  <dc:creator>songyunshu</dc:creator>
  <cp:lastModifiedBy>songyunshu</cp:lastModifiedBy>
  <dcterms:modified xsi:type="dcterms:W3CDTF">2022-01-04T09:20:41Z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